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widowControl w:val="0"/>
        <w:rPr>
          <w:b/>
          <w:bCs/>
          <w:u w:val="single"/>
        </w:rPr>
      </w:pPr>
      <w:r>
        <w:rPr>
          <w:b/>
          <w:bCs/>
          <w:u w:val="single"/>
        </w:rPr>
        <w:t>Annexe 2</w:t>
      </w:r>
    </w:p>
    <w:p>
      <w:pPr>
        <w:pStyle w:val="Default"/>
        <w:widowControl w:val="0"/>
        <w:spacing w:after="120"/>
        <w:jc w:val="both"/>
        <w:rPr>
          <w:b/>
          <w:bCs/>
          <w:color w:val="auto"/>
          <w:sz w:val="22"/>
          <w:szCs w:val="22"/>
        </w:rPr>
      </w:pPr>
    </w:p>
    <w:p>
      <w:pPr>
        <w:pStyle w:val="Default"/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jc w:val="center"/>
        <w:rPr>
          <w:color w:val="auto"/>
          <w:sz w:val="32"/>
          <w:szCs w:val="32"/>
        </w:rPr>
      </w:pPr>
      <w:r>
        <w:rPr>
          <w:b/>
          <w:bCs/>
          <w:color w:val="auto"/>
          <w:sz w:val="32"/>
          <w:szCs w:val="32"/>
        </w:rPr>
        <w:t>Répartition des CTA par secteur et sous-secteur</w:t>
      </w:r>
    </w:p>
    <w:p>
      <w:pPr>
        <w:pStyle w:val="Default"/>
        <w:widowControl w:val="0"/>
        <w:spacing w:after="120"/>
        <w:jc w:val="both"/>
        <w:rPr>
          <w:b/>
          <w:bCs/>
          <w:color w:val="auto"/>
          <w:sz w:val="22"/>
          <w:szCs w:val="22"/>
        </w:rPr>
      </w:pPr>
    </w:p>
    <w:p>
      <w:pPr>
        <w:pStyle w:val="Default"/>
        <w:widowControl w:val="0"/>
        <w:numPr>
          <w:ilvl w:val="0"/>
          <w:numId w:val="1"/>
        </w:numPr>
        <w:spacing w:after="120"/>
        <w:ind w:left="426" w:hanging="426"/>
        <w:jc w:val="both"/>
        <w:rPr>
          <w:b/>
          <w:bCs/>
          <w:color w:val="auto"/>
          <w:u w:val="single"/>
        </w:rPr>
      </w:pPr>
      <w:r>
        <w:rPr>
          <w:b/>
          <w:bCs/>
          <w:color w:val="auto"/>
          <w:u w:val="single"/>
        </w:rPr>
        <w:t>Secteur agronomie</w:t>
      </w:r>
    </w:p>
    <w:p>
      <w:pPr>
        <w:pStyle w:val="Default"/>
        <w:widowControl w:val="0"/>
        <w:numPr>
          <w:ilvl w:val="0"/>
          <w:numId w:val="2"/>
        </w:numPr>
        <w:spacing w:after="120"/>
        <w:jc w:val="both"/>
        <w:rPr>
          <w:color w:val="auto"/>
        </w:rPr>
      </w:pPr>
      <w:r>
        <w:rPr>
          <w:color w:val="auto"/>
        </w:rPr>
        <w:t>CTA Formations agronomiques des secteurs verts de Gembloux</w:t>
      </w:r>
    </w:p>
    <w:p>
      <w:pPr>
        <w:pStyle w:val="Default"/>
        <w:widowControl w:val="0"/>
        <w:numPr>
          <w:ilvl w:val="0"/>
          <w:numId w:val="1"/>
        </w:numPr>
        <w:spacing w:before="120" w:after="120"/>
        <w:ind w:left="425" w:hanging="425"/>
        <w:jc w:val="both"/>
        <w:rPr>
          <w:b/>
          <w:bCs/>
          <w:color w:val="auto"/>
          <w:u w:val="single"/>
        </w:rPr>
      </w:pPr>
      <w:r>
        <w:rPr>
          <w:b/>
          <w:bCs/>
          <w:color w:val="auto"/>
          <w:u w:val="single"/>
        </w:rPr>
        <w:t>Secteur construction</w:t>
      </w:r>
    </w:p>
    <w:p>
      <w:pPr>
        <w:pStyle w:val="Default"/>
        <w:widowControl w:val="0"/>
        <w:spacing w:after="120"/>
        <w:jc w:val="both"/>
        <w:rPr>
          <w:b/>
          <w:bCs/>
          <w:color w:val="auto"/>
        </w:rPr>
      </w:pPr>
      <w:r>
        <w:rPr>
          <w:b/>
          <w:bCs/>
          <w:color w:val="auto"/>
        </w:rPr>
        <w:t>2.1.</w:t>
      </w:r>
      <w:r>
        <w:rPr>
          <w:b/>
          <w:bCs/>
          <w:color w:val="auto"/>
        </w:rPr>
        <w:tab/>
        <w:t>Bois</w:t>
      </w:r>
    </w:p>
    <w:p>
      <w:pPr>
        <w:pStyle w:val="Default"/>
        <w:widowControl w:val="0"/>
        <w:numPr>
          <w:ilvl w:val="0"/>
          <w:numId w:val="2"/>
        </w:numPr>
        <w:spacing w:after="120"/>
        <w:jc w:val="both"/>
        <w:rPr>
          <w:color w:val="auto"/>
        </w:rPr>
      </w:pPr>
      <w:r>
        <w:rPr>
          <w:color w:val="auto"/>
        </w:rPr>
        <w:t>CTA Bois-Ecoconstruction de Comines</w:t>
      </w:r>
    </w:p>
    <w:p>
      <w:pPr>
        <w:pStyle w:val="Default"/>
        <w:widowControl w:val="0"/>
        <w:numPr>
          <w:ilvl w:val="0"/>
          <w:numId w:val="2"/>
        </w:numPr>
        <w:spacing w:after="120"/>
        <w:jc w:val="both"/>
        <w:rPr>
          <w:color w:val="auto"/>
        </w:rPr>
      </w:pPr>
      <w:r>
        <w:rPr>
          <w:color w:val="auto"/>
        </w:rPr>
        <w:t>CTA Bois-PVC-Alu de Liège</w:t>
      </w:r>
    </w:p>
    <w:p>
      <w:pPr>
        <w:pStyle w:val="Default"/>
        <w:widowControl w:val="0"/>
        <w:numPr>
          <w:ilvl w:val="0"/>
          <w:numId w:val="2"/>
        </w:numPr>
        <w:spacing w:after="120"/>
        <w:jc w:val="both"/>
        <w:rPr>
          <w:color w:val="auto"/>
        </w:rPr>
      </w:pPr>
      <w:r>
        <w:rPr>
          <w:color w:val="auto"/>
        </w:rPr>
        <w:t>CTA Charpente et ossature bois de Morlanwelz</w:t>
      </w:r>
    </w:p>
    <w:p>
      <w:pPr>
        <w:pStyle w:val="Default"/>
        <w:widowControl w:val="0"/>
        <w:spacing w:after="120"/>
        <w:jc w:val="both"/>
        <w:rPr>
          <w:b/>
          <w:bCs/>
          <w:color w:val="auto"/>
        </w:rPr>
      </w:pPr>
      <w:r>
        <w:rPr>
          <w:b/>
          <w:bCs/>
          <w:color w:val="auto"/>
        </w:rPr>
        <w:t>2.2.</w:t>
      </w:r>
      <w:r>
        <w:rPr>
          <w:b/>
          <w:bCs/>
          <w:color w:val="auto"/>
        </w:rPr>
        <w:tab/>
        <w:t>Equipement du bâtiment</w:t>
      </w:r>
    </w:p>
    <w:p>
      <w:pPr>
        <w:pStyle w:val="Default"/>
        <w:widowControl w:val="0"/>
        <w:numPr>
          <w:ilvl w:val="0"/>
          <w:numId w:val="2"/>
        </w:numPr>
        <w:spacing w:after="120"/>
        <w:jc w:val="both"/>
      </w:pPr>
      <w:r>
        <w:rPr>
          <w:color w:val="auto"/>
        </w:rPr>
        <w:t>CTA Energies vertes et renouvelables d’Anderlecht</w:t>
      </w:r>
    </w:p>
    <w:p>
      <w:pPr>
        <w:pStyle w:val="Default"/>
        <w:widowControl w:val="0"/>
        <w:numPr>
          <w:ilvl w:val="0"/>
          <w:numId w:val="2"/>
        </w:numPr>
        <w:spacing w:after="120"/>
        <w:jc w:val="both"/>
        <w:rPr>
          <w:color w:val="auto"/>
        </w:rPr>
      </w:pPr>
      <w:r>
        <w:rPr>
          <w:color w:val="auto"/>
        </w:rPr>
        <w:t>CTA Serge Journé en Maintenance des équipements énergétiques d’Ath (pour partie)</w:t>
      </w:r>
    </w:p>
    <w:p>
      <w:pPr>
        <w:pStyle w:val="Default"/>
        <w:widowControl w:val="0"/>
        <w:numPr>
          <w:ilvl w:val="0"/>
          <w:numId w:val="2"/>
        </w:numPr>
        <w:spacing w:after="120"/>
        <w:jc w:val="both"/>
        <w:rPr>
          <w:color w:val="auto"/>
        </w:rPr>
      </w:pPr>
      <w:r>
        <w:rPr>
          <w:color w:val="auto"/>
        </w:rPr>
        <w:t>CTA Equipements techniques du bâtiment de Ciney (pour partie)</w:t>
      </w:r>
    </w:p>
    <w:p>
      <w:pPr>
        <w:pStyle w:val="Default"/>
        <w:widowControl w:val="0"/>
        <w:numPr>
          <w:ilvl w:val="0"/>
          <w:numId w:val="1"/>
        </w:numPr>
        <w:spacing w:before="120" w:after="120"/>
        <w:ind w:left="425" w:hanging="425"/>
        <w:jc w:val="both"/>
        <w:rPr>
          <w:b/>
          <w:bCs/>
          <w:color w:val="auto"/>
          <w:u w:val="single"/>
        </w:rPr>
      </w:pPr>
      <w:r>
        <w:rPr>
          <w:b/>
          <w:bCs/>
          <w:color w:val="auto"/>
          <w:u w:val="single"/>
        </w:rPr>
        <w:t>Secteur hôtellerie – restauration</w:t>
      </w:r>
    </w:p>
    <w:p>
      <w:pPr>
        <w:pStyle w:val="Default"/>
        <w:widowControl w:val="0"/>
        <w:numPr>
          <w:ilvl w:val="0"/>
          <w:numId w:val="2"/>
        </w:numPr>
        <w:spacing w:after="120"/>
        <w:jc w:val="both"/>
        <w:rPr>
          <w:color w:val="auto"/>
        </w:rPr>
      </w:pPr>
      <w:r>
        <w:rPr>
          <w:color w:val="auto"/>
        </w:rPr>
        <w:t>CTA Boulangerie – Chocolaterie – Pâtisserie – Glacerie – Hôtellerie – Restauration de salle d’Anderlecht</w:t>
      </w:r>
    </w:p>
    <w:p>
      <w:pPr>
        <w:pStyle w:val="Default"/>
        <w:widowControl w:val="0"/>
        <w:numPr>
          <w:ilvl w:val="0"/>
          <w:numId w:val="2"/>
        </w:numPr>
        <w:spacing w:after="120"/>
        <w:jc w:val="both"/>
        <w:rPr>
          <w:color w:val="auto"/>
        </w:rPr>
      </w:pPr>
      <w:r>
        <w:rPr>
          <w:color w:val="auto"/>
        </w:rPr>
        <w:t>CTA Expertise scientifique au service des métiers de l'alimentation de Libramont (pour partie)</w:t>
      </w:r>
    </w:p>
    <w:p>
      <w:pPr>
        <w:pStyle w:val="Default"/>
        <w:widowControl w:val="0"/>
        <w:numPr>
          <w:ilvl w:val="0"/>
          <w:numId w:val="2"/>
        </w:numPr>
        <w:spacing w:after="120"/>
        <w:jc w:val="both"/>
        <w:rPr>
          <w:color w:val="auto"/>
        </w:rPr>
      </w:pPr>
      <w:r>
        <w:rPr>
          <w:color w:val="auto"/>
        </w:rPr>
        <w:t>CTA Métiers de bouche de Liège</w:t>
      </w:r>
    </w:p>
    <w:p>
      <w:pPr>
        <w:pStyle w:val="Default"/>
        <w:widowControl w:val="0"/>
        <w:numPr>
          <w:ilvl w:val="0"/>
          <w:numId w:val="2"/>
        </w:numPr>
        <w:spacing w:after="120"/>
        <w:jc w:val="both"/>
        <w:rPr>
          <w:color w:val="auto"/>
        </w:rPr>
      </w:pPr>
      <w:r>
        <w:rPr>
          <w:color w:val="auto"/>
        </w:rPr>
        <w:t>CTA Gestion hôtelière de Namur</w:t>
      </w:r>
    </w:p>
    <w:p>
      <w:pPr>
        <w:pStyle w:val="Default"/>
        <w:widowControl w:val="0"/>
        <w:numPr>
          <w:ilvl w:val="0"/>
          <w:numId w:val="2"/>
        </w:numPr>
        <w:spacing w:after="120"/>
        <w:jc w:val="both"/>
        <w:rPr>
          <w:color w:val="auto"/>
        </w:rPr>
      </w:pPr>
      <w:r>
        <w:rPr>
          <w:color w:val="auto"/>
        </w:rPr>
        <w:t>CTA Formations dans le domaine de l’agro-alimentaire de Tournai</w:t>
      </w:r>
    </w:p>
    <w:p>
      <w:pPr>
        <w:pStyle w:val="Default"/>
        <w:widowControl w:val="0"/>
        <w:numPr>
          <w:ilvl w:val="0"/>
          <w:numId w:val="1"/>
        </w:numPr>
        <w:spacing w:before="120" w:after="120"/>
        <w:ind w:left="425" w:hanging="425"/>
        <w:jc w:val="both"/>
        <w:rPr>
          <w:b/>
          <w:bCs/>
          <w:color w:val="auto"/>
          <w:u w:val="single"/>
        </w:rPr>
      </w:pPr>
      <w:r>
        <w:rPr>
          <w:b/>
          <w:bCs/>
          <w:color w:val="auto"/>
          <w:u w:val="single"/>
        </w:rPr>
        <w:t>Secteur industrie</w:t>
      </w:r>
    </w:p>
    <w:p>
      <w:pPr>
        <w:pStyle w:val="Default"/>
        <w:widowControl w:val="0"/>
        <w:spacing w:after="120"/>
        <w:jc w:val="both"/>
        <w:rPr>
          <w:color w:val="auto"/>
        </w:rPr>
      </w:pPr>
      <w:r>
        <w:rPr>
          <w:b/>
          <w:bCs/>
          <w:color w:val="auto"/>
        </w:rPr>
        <w:t>4.1.</w:t>
      </w:r>
      <w:r>
        <w:rPr>
          <w:b/>
          <w:bCs/>
          <w:color w:val="auto"/>
        </w:rPr>
        <w:tab/>
        <w:t>Automation – maintenance</w:t>
      </w:r>
    </w:p>
    <w:p>
      <w:pPr>
        <w:pStyle w:val="Default"/>
        <w:widowControl w:val="0"/>
        <w:numPr>
          <w:ilvl w:val="0"/>
          <w:numId w:val="2"/>
        </w:numPr>
        <w:spacing w:after="120"/>
        <w:jc w:val="both"/>
        <w:rPr>
          <w:color w:val="auto"/>
        </w:rPr>
      </w:pPr>
      <w:r>
        <w:rPr>
          <w:color w:val="auto"/>
        </w:rPr>
        <w:t>CTA Automation de Liège</w:t>
      </w:r>
    </w:p>
    <w:p>
      <w:pPr>
        <w:pStyle w:val="Default"/>
        <w:widowControl w:val="0"/>
        <w:numPr>
          <w:ilvl w:val="0"/>
          <w:numId w:val="2"/>
        </w:numPr>
        <w:spacing w:after="120"/>
        <w:jc w:val="both"/>
        <w:rPr>
          <w:color w:val="auto"/>
        </w:rPr>
      </w:pPr>
      <w:r>
        <w:rPr>
          <w:color w:val="auto"/>
        </w:rPr>
        <w:t>CTA Serge Creuz en Chaines de production, automates programmables (API), électropneumatique, électronique, robotique d’Anderlecht</w:t>
      </w:r>
    </w:p>
    <w:p>
      <w:pPr>
        <w:pStyle w:val="Default"/>
        <w:widowControl w:val="0"/>
        <w:numPr>
          <w:ilvl w:val="0"/>
          <w:numId w:val="2"/>
        </w:numPr>
        <w:spacing w:after="120"/>
        <w:jc w:val="both"/>
        <w:rPr>
          <w:color w:val="auto"/>
        </w:rPr>
      </w:pPr>
      <w:r>
        <w:rPr>
          <w:color w:val="auto"/>
        </w:rPr>
        <w:t>CTA Maintenance de systèmes automatisés industriels de Virton</w:t>
      </w:r>
    </w:p>
    <w:p>
      <w:pPr>
        <w:pStyle w:val="Default"/>
        <w:widowControl w:val="0"/>
        <w:spacing w:after="120"/>
        <w:jc w:val="both"/>
        <w:rPr>
          <w:b/>
          <w:bCs/>
          <w:color w:val="auto"/>
        </w:rPr>
      </w:pPr>
      <w:r>
        <w:rPr>
          <w:b/>
          <w:bCs/>
          <w:color w:val="auto"/>
        </w:rPr>
        <w:t>4.2.</w:t>
      </w:r>
      <w:r>
        <w:rPr>
          <w:b/>
          <w:bCs/>
          <w:color w:val="auto"/>
        </w:rPr>
        <w:tab/>
        <w:t>Industries graphiques</w:t>
      </w:r>
    </w:p>
    <w:p>
      <w:pPr>
        <w:pStyle w:val="Default"/>
        <w:widowControl w:val="0"/>
        <w:numPr>
          <w:ilvl w:val="0"/>
          <w:numId w:val="2"/>
        </w:numPr>
        <w:spacing w:after="120"/>
        <w:jc w:val="both"/>
        <w:rPr>
          <w:color w:val="auto"/>
        </w:rPr>
      </w:pPr>
      <w:r>
        <w:rPr>
          <w:color w:val="auto"/>
        </w:rPr>
        <w:t>CTA Infographie et industries graphiques de Bruxelles</w:t>
      </w:r>
    </w:p>
    <w:p>
      <w:pPr>
        <w:pStyle w:val="Default"/>
        <w:widowControl w:val="0"/>
        <w:numPr>
          <w:ilvl w:val="0"/>
          <w:numId w:val="2"/>
        </w:numPr>
        <w:spacing w:after="120"/>
        <w:jc w:val="both"/>
        <w:rPr>
          <w:color w:val="auto"/>
        </w:rPr>
      </w:pPr>
      <w:r>
        <w:rPr>
          <w:color w:val="auto"/>
        </w:rPr>
        <w:t>CTA Industries graphiques de Flémalle</w:t>
      </w:r>
    </w:p>
    <w:p>
      <w:pPr>
        <w:pStyle w:val="Default"/>
        <w:widowControl w:val="0"/>
        <w:numPr>
          <w:ilvl w:val="0"/>
          <w:numId w:val="2"/>
        </w:numPr>
        <w:spacing w:after="120"/>
        <w:jc w:val="both"/>
        <w:rPr>
          <w:color w:val="auto"/>
        </w:rPr>
      </w:pPr>
      <w:r>
        <w:rPr>
          <w:color w:val="auto"/>
        </w:rPr>
        <w:t>CTA Conception et création 2D-3D de Liège</w:t>
      </w:r>
    </w:p>
    <w:p>
      <w:pPr>
        <w:pStyle w:val="Default"/>
        <w:widowControl w:val="0"/>
        <w:spacing w:after="120"/>
        <w:jc w:val="both"/>
        <w:rPr>
          <w:b/>
          <w:bCs/>
          <w:color w:val="auto"/>
        </w:rPr>
      </w:pPr>
      <w:r>
        <w:rPr>
          <w:b/>
          <w:bCs/>
          <w:color w:val="auto"/>
        </w:rPr>
        <w:lastRenderedPageBreak/>
        <w:t>4.3.</w:t>
      </w:r>
      <w:r>
        <w:rPr>
          <w:b/>
          <w:bCs/>
          <w:color w:val="auto"/>
        </w:rPr>
        <w:tab/>
        <w:t>Mécanique automobile – carrosserie</w:t>
      </w:r>
    </w:p>
    <w:p>
      <w:pPr>
        <w:pStyle w:val="Default"/>
        <w:widowControl w:val="0"/>
        <w:numPr>
          <w:ilvl w:val="0"/>
          <w:numId w:val="2"/>
        </w:numPr>
        <w:spacing w:after="120"/>
        <w:jc w:val="both"/>
        <w:rPr>
          <w:color w:val="auto"/>
        </w:rPr>
      </w:pPr>
      <w:r>
        <w:rPr>
          <w:color w:val="auto"/>
        </w:rPr>
        <w:t>CTA Mécanique des moteurs de Leuze-en-Hainaut</w:t>
      </w:r>
    </w:p>
    <w:p>
      <w:pPr>
        <w:pStyle w:val="Default"/>
        <w:widowControl w:val="0"/>
        <w:numPr>
          <w:ilvl w:val="0"/>
          <w:numId w:val="2"/>
        </w:numPr>
        <w:spacing w:after="120"/>
        <w:jc w:val="both"/>
        <w:rPr>
          <w:color w:val="auto"/>
        </w:rPr>
      </w:pPr>
      <w:r>
        <w:rPr>
          <w:color w:val="auto"/>
        </w:rPr>
        <w:t>CTA Véhicules écologiques de Mons (pour partie)</w:t>
      </w:r>
    </w:p>
    <w:p>
      <w:pPr>
        <w:pStyle w:val="Default"/>
        <w:widowControl w:val="0"/>
        <w:numPr>
          <w:ilvl w:val="0"/>
          <w:numId w:val="2"/>
        </w:numPr>
        <w:spacing w:after="120"/>
        <w:jc w:val="both"/>
        <w:rPr>
          <w:color w:val="auto"/>
        </w:rPr>
      </w:pPr>
      <w:r>
        <w:rPr>
          <w:color w:val="auto"/>
        </w:rPr>
        <w:t>CTA Mécanique – carrosserie de Namur</w:t>
      </w:r>
    </w:p>
    <w:p>
      <w:pPr>
        <w:pStyle w:val="Default"/>
        <w:widowControl w:val="0"/>
        <w:spacing w:after="120"/>
        <w:jc w:val="both"/>
        <w:rPr>
          <w:b/>
          <w:bCs/>
          <w:color w:val="auto"/>
        </w:rPr>
      </w:pPr>
      <w:r>
        <w:rPr>
          <w:b/>
          <w:bCs/>
          <w:color w:val="auto"/>
        </w:rPr>
        <w:t>4.4.</w:t>
      </w:r>
      <w:r>
        <w:rPr>
          <w:b/>
          <w:bCs/>
          <w:color w:val="auto"/>
        </w:rPr>
        <w:tab/>
        <w:t>Mécanique appliquée</w:t>
      </w:r>
    </w:p>
    <w:p>
      <w:pPr>
        <w:pStyle w:val="Default"/>
        <w:widowControl w:val="0"/>
        <w:numPr>
          <w:ilvl w:val="0"/>
          <w:numId w:val="2"/>
        </w:numPr>
        <w:spacing w:after="120"/>
        <w:jc w:val="both"/>
        <w:rPr>
          <w:color w:val="auto"/>
        </w:rPr>
      </w:pPr>
      <w:r>
        <w:rPr>
          <w:color w:val="auto"/>
        </w:rPr>
        <w:t>CTA Serge Journé en Maintenance des équipements énergétiques d’Ath (pour partie)</w:t>
      </w:r>
    </w:p>
    <w:p>
      <w:pPr>
        <w:pStyle w:val="Default"/>
        <w:widowControl w:val="0"/>
        <w:numPr>
          <w:ilvl w:val="0"/>
          <w:numId w:val="2"/>
        </w:numPr>
        <w:spacing w:after="120"/>
        <w:jc w:val="both"/>
        <w:rPr>
          <w:color w:val="auto"/>
        </w:rPr>
      </w:pPr>
      <w:r>
        <w:rPr>
          <w:color w:val="auto"/>
        </w:rPr>
        <w:t>CTA Electricité résidentielle et industrielle, domotique, technique du froid, hydraulique de Bruxelles (pour partie)</w:t>
      </w:r>
    </w:p>
    <w:p>
      <w:pPr>
        <w:pStyle w:val="Default"/>
        <w:widowControl w:val="0"/>
        <w:numPr>
          <w:ilvl w:val="0"/>
          <w:numId w:val="2"/>
        </w:numPr>
        <w:spacing w:after="120"/>
        <w:jc w:val="both"/>
        <w:rPr>
          <w:color w:val="auto"/>
        </w:rPr>
      </w:pPr>
      <w:r>
        <w:rPr>
          <w:color w:val="auto"/>
        </w:rPr>
        <w:t>CTA Mécanique appliquée de Charleroi</w:t>
      </w:r>
    </w:p>
    <w:p>
      <w:pPr>
        <w:pStyle w:val="Default"/>
        <w:widowControl w:val="0"/>
        <w:numPr>
          <w:ilvl w:val="0"/>
          <w:numId w:val="2"/>
        </w:numPr>
        <w:spacing w:after="120"/>
        <w:jc w:val="both"/>
        <w:rPr>
          <w:color w:val="auto"/>
        </w:rPr>
      </w:pPr>
      <w:r>
        <w:rPr>
          <w:color w:val="auto"/>
        </w:rPr>
        <w:t>CTA Travail de la tôle de Marche-en-Famenne</w:t>
      </w:r>
    </w:p>
    <w:p>
      <w:pPr>
        <w:pStyle w:val="Default"/>
        <w:widowControl w:val="0"/>
        <w:numPr>
          <w:ilvl w:val="0"/>
          <w:numId w:val="2"/>
        </w:numPr>
        <w:spacing w:after="120"/>
        <w:jc w:val="both"/>
        <w:rPr>
          <w:color w:val="auto"/>
        </w:rPr>
      </w:pPr>
      <w:r>
        <w:rPr>
          <w:color w:val="auto"/>
        </w:rPr>
        <w:t>CTA CNC – Usinage de Soumagne</w:t>
      </w:r>
    </w:p>
    <w:p>
      <w:pPr>
        <w:pStyle w:val="Default"/>
        <w:widowControl w:val="0"/>
        <w:spacing w:after="120"/>
        <w:jc w:val="both"/>
        <w:rPr>
          <w:b/>
          <w:bCs/>
          <w:color w:val="auto"/>
        </w:rPr>
      </w:pPr>
      <w:r>
        <w:rPr>
          <w:b/>
          <w:bCs/>
          <w:color w:val="auto"/>
        </w:rPr>
        <w:t>4.5. Domotique – immotique</w:t>
      </w:r>
    </w:p>
    <w:p>
      <w:pPr>
        <w:pStyle w:val="Default"/>
        <w:widowControl w:val="0"/>
        <w:numPr>
          <w:ilvl w:val="0"/>
          <w:numId w:val="2"/>
        </w:numPr>
        <w:spacing w:after="120"/>
        <w:jc w:val="both"/>
      </w:pPr>
      <w:r>
        <w:rPr>
          <w:color w:val="auto"/>
        </w:rPr>
        <w:t>CTA Electricité résidentielle et industrielle, domotique, technique du froid, hydraulique de Bruxelles (pour partie)</w:t>
      </w:r>
    </w:p>
    <w:p>
      <w:pPr>
        <w:pStyle w:val="Default"/>
        <w:widowControl w:val="0"/>
        <w:numPr>
          <w:ilvl w:val="0"/>
          <w:numId w:val="2"/>
        </w:numPr>
        <w:spacing w:after="120"/>
        <w:jc w:val="both"/>
      </w:pPr>
      <w:r>
        <w:rPr>
          <w:color w:val="auto"/>
        </w:rPr>
        <w:t>CTA Domotique – immotique de Charleroi</w:t>
      </w:r>
    </w:p>
    <w:p>
      <w:pPr>
        <w:pStyle w:val="Default"/>
        <w:widowControl w:val="0"/>
        <w:numPr>
          <w:ilvl w:val="0"/>
          <w:numId w:val="2"/>
        </w:numPr>
        <w:spacing w:after="120"/>
        <w:jc w:val="both"/>
        <w:rPr>
          <w:color w:val="auto"/>
        </w:rPr>
      </w:pPr>
      <w:r>
        <w:rPr>
          <w:color w:val="auto"/>
        </w:rPr>
        <w:t>CTA Equipements techniques du bâtiment de Ciney (pour partie)</w:t>
      </w:r>
    </w:p>
    <w:p>
      <w:pPr>
        <w:pStyle w:val="Default"/>
        <w:widowControl w:val="0"/>
        <w:spacing w:after="120"/>
        <w:jc w:val="both"/>
        <w:rPr>
          <w:b/>
          <w:bCs/>
          <w:color w:val="auto"/>
        </w:rPr>
      </w:pPr>
      <w:r>
        <w:rPr>
          <w:b/>
          <w:bCs/>
          <w:color w:val="auto"/>
        </w:rPr>
        <w:t>4.6. Electricité</w:t>
      </w:r>
    </w:p>
    <w:p>
      <w:pPr>
        <w:pStyle w:val="Default"/>
        <w:widowControl w:val="0"/>
        <w:numPr>
          <w:ilvl w:val="0"/>
          <w:numId w:val="2"/>
        </w:numPr>
        <w:spacing w:after="120"/>
        <w:jc w:val="both"/>
      </w:pPr>
      <w:r>
        <w:rPr>
          <w:color w:val="auto"/>
        </w:rPr>
        <w:t>CTA Electricité résidentielle et industrielle, domotique, technique du froid, hydraulique de Bruxelles (pour partie)</w:t>
      </w:r>
    </w:p>
    <w:p>
      <w:pPr>
        <w:pStyle w:val="Default"/>
        <w:widowControl w:val="0"/>
        <w:numPr>
          <w:ilvl w:val="0"/>
          <w:numId w:val="2"/>
        </w:numPr>
        <w:spacing w:after="120"/>
        <w:jc w:val="both"/>
        <w:rPr>
          <w:color w:val="auto"/>
        </w:rPr>
      </w:pPr>
      <w:r>
        <w:rPr>
          <w:color w:val="auto"/>
        </w:rPr>
        <w:t>CTA Equipements techniques du bâtiment de Ciney (pour partie)</w:t>
      </w:r>
    </w:p>
    <w:p>
      <w:pPr>
        <w:pStyle w:val="Default"/>
        <w:widowControl w:val="0"/>
        <w:spacing w:after="120"/>
        <w:jc w:val="both"/>
        <w:rPr>
          <w:b/>
          <w:bCs/>
          <w:color w:val="auto"/>
        </w:rPr>
      </w:pPr>
      <w:r>
        <w:rPr>
          <w:b/>
          <w:bCs/>
          <w:color w:val="auto"/>
        </w:rPr>
        <w:t>4.7. Techniques du froid</w:t>
      </w:r>
    </w:p>
    <w:p>
      <w:pPr>
        <w:pStyle w:val="Default"/>
        <w:widowControl w:val="0"/>
        <w:numPr>
          <w:ilvl w:val="0"/>
          <w:numId w:val="2"/>
        </w:numPr>
        <w:spacing w:after="120"/>
        <w:jc w:val="both"/>
        <w:rPr>
          <w:color w:val="auto"/>
        </w:rPr>
      </w:pPr>
      <w:r>
        <w:rPr>
          <w:color w:val="auto"/>
        </w:rPr>
        <w:t>CTA Equipements techniques du bâtiment de Ciney (pour partie)</w:t>
      </w:r>
    </w:p>
    <w:p>
      <w:pPr>
        <w:pStyle w:val="Default"/>
        <w:widowControl w:val="0"/>
        <w:numPr>
          <w:ilvl w:val="0"/>
          <w:numId w:val="2"/>
        </w:numPr>
        <w:spacing w:after="120"/>
        <w:jc w:val="both"/>
        <w:rPr>
          <w:color w:val="auto"/>
        </w:rPr>
      </w:pPr>
      <w:r>
        <w:rPr>
          <w:color w:val="auto"/>
        </w:rPr>
        <w:t>CTA Electricité résidentielle et industrielle, domotique, technique du froid, hydraulique de Bruxelles (pour partie)</w:t>
      </w:r>
    </w:p>
    <w:p>
      <w:pPr>
        <w:pStyle w:val="Default"/>
        <w:widowControl w:val="0"/>
        <w:numPr>
          <w:ilvl w:val="0"/>
          <w:numId w:val="1"/>
        </w:numPr>
        <w:spacing w:before="120" w:after="120"/>
        <w:ind w:left="425" w:hanging="425"/>
        <w:jc w:val="both"/>
        <w:rPr>
          <w:b/>
          <w:bCs/>
          <w:color w:val="auto"/>
          <w:u w:val="single"/>
        </w:rPr>
      </w:pPr>
      <w:r>
        <w:rPr>
          <w:b/>
          <w:bCs/>
          <w:color w:val="auto"/>
          <w:u w:val="single"/>
        </w:rPr>
        <w:t>Secteur sciences appliquées</w:t>
      </w:r>
    </w:p>
    <w:p>
      <w:pPr>
        <w:pStyle w:val="Default"/>
        <w:widowControl w:val="0"/>
        <w:numPr>
          <w:ilvl w:val="0"/>
          <w:numId w:val="2"/>
        </w:numPr>
        <w:spacing w:after="120"/>
        <w:jc w:val="both"/>
        <w:rPr>
          <w:color w:val="auto"/>
        </w:rPr>
      </w:pPr>
      <w:r>
        <w:rPr>
          <w:color w:val="auto"/>
        </w:rPr>
        <w:t>CTA Expertise scientifique au service des métiers de l'alimentation de Libramont (pour partie)</w:t>
      </w:r>
    </w:p>
    <w:p>
      <w:pPr>
        <w:pStyle w:val="Default"/>
        <w:widowControl w:val="0"/>
        <w:numPr>
          <w:ilvl w:val="0"/>
          <w:numId w:val="2"/>
        </w:numPr>
        <w:spacing w:after="120"/>
        <w:jc w:val="both"/>
        <w:rPr>
          <w:color w:val="auto"/>
        </w:rPr>
      </w:pPr>
      <w:r>
        <w:rPr>
          <w:color w:val="auto"/>
        </w:rPr>
        <w:t>CTA Véhicules écologiques de Mons (pour partie)</w:t>
      </w:r>
    </w:p>
    <w:p>
      <w:pPr>
        <w:pStyle w:val="Default"/>
        <w:widowControl w:val="0"/>
        <w:numPr>
          <w:ilvl w:val="0"/>
          <w:numId w:val="2"/>
        </w:numPr>
        <w:spacing w:after="120"/>
        <w:jc w:val="both"/>
        <w:rPr>
          <w:color w:val="auto"/>
        </w:rPr>
      </w:pPr>
      <w:r>
        <w:rPr>
          <w:color w:val="auto"/>
        </w:rPr>
        <w:t>CTA Sciences appliquées de Namur</w:t>
      </w:r>
    </w:p>
    <w:p>
      <w:pPr>
        <w:pStyle w:val="Default"/>
        <w:widowControl w:val="0"/>
        <w:numPr>
          <w:ilvl w:val="0"/>
          <w:numId w:val="2"/>
        </w:numPr>
        <w:spacing w:after="120"/>
        <w:jc w:val="both"/>
        <w:rPr>
          <w:color w:val="auto"/>
        </w:rPr>
      </w:pPr>
      <w:r>
        <w:rPr>
          <w:color w:val="auto"/>
        </w:rPr>
        <w:t>CTA Chimie de Schaerbeek</w:t>
      </w:r>
    </w:p>
    <w:p>
      <w:pPr>
        <w:pStyle w:val="Default"/>
        <w:widowControl w:val="0"/>
        <w:numPr>
          <w:ilvl w:val="0"/>
          <w:numId w:val="2"/>
        </w:numPr>
        <w:spacing w:after="120"/>
        <w:jc w:val="both"/>
        <w:rPr>
          <w:color w:val="auto"/>
        </w:rPr>
      </w:pPr>
      <w:r>
        <w:rPr>
          <w:color w:val="auto"/>
        </w:rPr>
        <w:t>CTA Environnement de Waremme</w:t>
      </w:r>
    </w:p>
    <w:p>
      <w:pPr>
        <w:pStyle w:val="Default"/>
        <w:widowControl w:val="0"/>
        <w:numPr>
          <w:ilvl w:val="0"/>
          <w:numId w:val="1"/>
        </w:numPr>
        <w:spacing w:before="120" w:after="120"/>
        <w:ind w:left="425" w:hanging="425"/>
        <w:jc w:val="both"/>
        <w:rPr>
          <w:b/>
          <w:bCs/>
          <w:color w:val="auto"/>
          <w:u w:val="single"/>
        </w:rPr>
      </w:pPr>
      <w:r>
        <w:rPr>
          <w:b/>
          <w:bCs/>
          <w:color w:val="auto"/>
          <w:u w:val="single"/>
        </w:rPr>
        <w:t>Secteur Services aux personnes</w:t>
      </w:r>
    </w:p>
    <w:p>
      <w:pPr>
        <w:pStyle w:val="Default"/>
        <w:widowControl w:val="0"/>
        <w:numPr>
          <w:ilvl w:val="0"/>
          <w:numId w:val="2"/>
        </w:numPr>
        <w:spacing w:after="120"/>
        <w:jc w:val="both"/>
      </w:pPr>
      <w:r>
        <w:rPr>
          <w:color w:val="auto"/>
        </w:rPr>
        <w:t>CTA Mini hôpital – Puériculture – Service aux personnes de Bruxelles</w:t>
      </w:r>
    </w:p>
    <w:p>
      <w:bookmarkStart w:id="0" w:name="_GoBack"/>
      <w:bookmarkEnd w:id="0"/>
    </w:p>
    <w:sectPr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A44D07"/>
    <w:multiLevelType w:val="hybridMultilevel"/>
    <w:tmpl w:val="BDD08E92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C51A28"/>
    <w:multiLevelType w:val="hybridMultilevel"/>
    <w:tmpl w:val="2F96F050"/>
    <w:lvl w:ilvl="0" w:tplc="08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7C02081-A77D-43D3-92C1-B04216159A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BE" w:eastAsia="fr-B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20"/>
      <w:ind w:left="1134" w:hanging="1134"/>
      <w:jc w:val="both"/>
    </w:pPr>
    <w:rPr>
      <w:sz w:val="22"/>
      <w:szCs w:val="22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Default">
    <w:name w:val="Default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429</Words>
  <Characters>2360</Characters>
  <Application>Microsoft Office Word</Application>
  <DocSecurity>0</DocSecurity>
  <Lines>19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2784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 CLERFAYT Mélanie</dc:creator>
  <cp:keywords/>
  <dc:description/>
  <cp:lastModifiedBy>DE CLERFAYT Mélanie</cp:lastModifiedBy>
  <cp:revision>1</cp:revision>
  <dcterms:created xsi:type="dcterms:W3CDTF">2022-05-05T09:42:00Z</dcterms:created>
  <dcterms:modified xsi:type="dcterms:W3CDTF">2022-05-05T09:43:00Z</dcterms:modified>
</cp:coreProperties>
</file>